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Racial</w:t>
      </w:r>
      <w:r>
        <w:t xml:space="preserve"> </w:t>
      </w:r>
      <w:r>
        <w:t xml:space="preserve">Equity</w:t>
      </w:r>
      <w:r>
        <w:t xml:space="preserve"> </w:t>
      </w:r>
      <w:r>
        <w:t xml:space="preserve">in</w:t>
      </w:r>
      <w:r>
        <w:t xml:space="preserve"> </w:t>
      </w:r>
      <w:r>
        <w:t xml:space="preserve">NYC</w:t>
      </w:r>
      <w:r>
        <w:t xml:space="preserve"> </w:t>
      </w:r>
      <w:r>
        <w:t xml:space="preserve">Parks:</w:t>
      </w:r>
      <w:r>
        <w:t xml:space="preserve"> </w:t>
      </w:r>
      <w:r>
        <w:t xml:space="preserve">Neighborhoods</w:t>
      </w:r>
      <w:r>
        <w:t xml:space="preserve"> </w:t>
      </w:r>
      <w:r>
        <w:t xml:space="preserve">of</w:t>
      </w:r>
      <w:r>
        <w:t xml:space="preserve"> </w:t>
      </w:r>
      <w:r>
        <w:t xml:space="preserve">Color</w:t>
      </w:r>
      <w:r>
        <w:t xml:space="preserve"> </w:t>
      </w:r>
      <w:r>
        <w:t xml:space="preserve">have</w:t>
      </w:r>
      <w:r>
        <w:t xml:space="preserve"> </w:t>
      </w:r>
      <w:r>
        <w:t xml:space="preserve">28%</w:t>
      </w:r>
      <w:r>
        <w:t xml:space="preserve"> </w:t>
      </w:r>
      <w:r>
        <w:t xml:space="preserve">Less</w:t>
      </w:r>
      <w:r>
        <w:t xml:space="preserve"> </w:t>
      </w:r>
      <w:r>
        <w:t xml:space="preserve">Park</w:t>
      </w:r>
      <w:r>
        <w:t xml:space="preserve"> </w:t>
      </w:r>
      <w:r>
        <w:t xml:space="preserve">Space</w:t>
      </w:r>
      <w:r>
        <w:t xml:space="preserve"> </w:t>
      </w:r>
      <w:r>
        <w:t xml:space="preserve">than</w:t>
      </w:r>
      <w:r>
        <w:t xml:space="preserve"> </w:t>
      </w:r>
      <w:r>
        <w:t xml:space="preserve">White</w:t>
      </w:r>
      <w:r>
        <w:t xml:space="preserve"> </w:t>
      </w:r>
      <w:r>
        <w:t xml:space="preserve">Neighborhoods</w:t>
      </w:r>
    </w:p>
    <w:p>
      <w:pPr>
        <w:pStyle w:val="Author"/>
      </w:pPr>
      <w:r>
        <w:t xml:space="preserve">Margot</w:t>
      </w:r>
      <w:r>
        <w:t xml:space="preserve"> </w:t>
      </w:r>
      <w:r>
        <w:t xml:space="preserve">Draillard-Vandenberg</w:t>
      </w:r>
    </w:p>
    <w:p>
      <w:pPr>
        <w:pStyle w:val="Date"/>
      </w:pPr>
      <w:r>
        <w:t xml:space="preserve">2023-02-20</w:t>
      </w:r>
    </w:p>
    <w:p>
      <w:pPr>
        <w:pStyle w:val="FirstParagraph"/>
      </w:pPr>
      <w:r>
        <w:t xml:space="preserve">It may be time to re-examine New York’s City’s lush parks reputation.</w:t>
      </w:r>
    </w:p>
    <w:p>
      <w:pPr>
        <w:pStyle w:val="BodyText"/>
      </w:pPr>
      <w:r>
        <w:t xml:space="preserve">With nearly 40,000 acres of municipal parks – 20 percent of the city’s total area – New York’s parks are well-known and appreciated.</w:t>
      </w:r>
      <w:r>
        <w:t xml:space="preserve"> </w:t>
      </w:r>
      <w:r>
        <w:t xml:space="preserve">Moreover, 99% percent of the population is within a 10-minute walk of a public-access parks.</w:t>
      </w:r>
    </w:p>
    <w:p>
      <w:pPr>
        <w:pStyle w:val="BodyText"/>
      </w:pPr>
      <w:r>
        <w:t xml:space="preserve">However, new research from the Trust for Public Land shines a different light on park accessibility and equity.</w:t>
      </w:r>
      <w:r>
        <w:t xml:space="preserve"> </w:t>
      </w:r>
      <w:r>
        <w:t xml:space="preserve">The Trust for Public Land – a non-profit that looks to protect, create, and bring attention to public green spaces – released their most recent</w:t>
      </w:r>
      <w:r>
        <w:t xml:space="preserve"> </w:t>
      </w:r>
      <w:hyperlink r:id="rId20">
        <w:r>
          <w:rPr>
            <w:rStyle w:val="Hyperlink"/>
          </w:rPr>
          <w:t xml:space="preserve">ParkScore Index</w:t>
        </w:r>
      </w:hyperlink>
      <w:r>
        <w:t xml:space="preserve"> </w:t>
      </w:r>
      <w:r>
        <w:t xml:space="preserve">at the end of last year.</w:t>
      </w:r>
      <w:r>
        <w:t xml:space="preserve"> </w:t>
      </w:r>
      <w:r>
        <w:t xml:space="preserve">Their report for New York City examines five main features: acreage, access, investment, amenities, and equity.</w:t>
      </w:r>
    </w:p>
    <w:p>
      <w:pPr>
        <w:pStyle w:val="BodyText"/>
      </w:pPr>
      <w:r>
        <w:t xml:space="preserve">The study reveals that those living in neighborhoods predominantly populated by people of color have access to 28% less nearby park space than those living in neighborhoods predominantly populated by white people.</w:t>
      </w:r>
      <w:r>
        <w:t xml:space="preserve"> </w:t>
      </w:r>
      <w:r>
        <w:t xml:space="preserve">That’s because despite nearly all New Yorkers’ easy access to parks, these parks aren’t configured in the same way.</w:t>
      </w:r>
      <w:r>
        <w:t xml:space="preserve"> </w:t>
      </w:r>
      <w:r>
        <w:t xml:space="preserve">People of color in New York might have the same access to parks as the rest of the population, but those parks are smaller.</w:t>
      </w:r>
      <w:r>
        <w:t xml:space="preserve"> </w:t>
      </w:r>
      <w:r>
        <w:t xml:space="preserve">This means less park space as well as fewer park amenities, such as playgrounds and rec centers for those living in these neighborhoods.</w:t>
      </w:r>
    </w:p>
    <w:p>
      <w:pPr>
        <w:pStyle w:val="BodyText"/>
      </w:pPr>
      <w:r>
        <w:t xml:space="preserve">Take the Upper West Side and Jackson Heights.</w:t>
      </w:r>
      <w:r>
        <w:t xml:space="preserve"> </w:t>
      </w:r>
      <w:r>
        <w:t xml:space="preserve">The Upper West Side, which has a nearly 70% white population, has easy access to Central Park, one of the largest parks in the city that totals 834 acres.</w:t>
      </w:r>
      <w:r>
        <w:t xml:space="preserve"> </w:t>
      </w:r>
      <w:r>
        <w:t xml:space="preserve">That is over 400 times more park space than Jackson Heights’ largest park, Travers Park. Travers Park, which serves a population that is about 20% Asian and 65% Hispanic, is only a mere 2 acres.</w:t>
      </w:r>
    </w:p>
    <w:p>
      <w:pPr>
        <w:pStyle w:val="BodyText"/>
      </w:pPr>
      <w:r>
        <w:t xml:space="preserve">Larger, greener parks have been found to have a large impact on city and person, including having an</w:t>
      </w:r>
      <w:r>
        <w:t xml:space="preserve"> </w:t>
      </w:r>
      <w:hyperlink r:id="rId21">
        <w:r>
          <w:rPr>
            <w:rStyle w:val="Hyperlink"/>
          </w:rPr>
          <w:t xml:space="preserve">important impact upon positive mental health</w:t>
        </w:r>
      </w:hyperlink>
      <w:r>
        <w:t xml:space="preserve"> </w:t>
      </w:r>
      <w:r>
        <w:t xml:space="preserve">and</w:t>
      </w:r>
      <w:r>
        <w:t xml:space="preserve"> </w:t>
      </w:r>
      <w:hyperlink r:id="rId22">
        <w:r>
          <w:rPr>
            <w:rStyle w:val="Hyperlink"/>
          </w:rPr>
          <w:t xml:space="preserve">the city’s ecological health.</w:t>
        </w:r>
      </w:hyperlink>
      <w:r>
        <w:t xml:space="preserve"> </w:t>
      </w:r>
      <w:r>
        <w:t xml:space="preserve">The ParkScore Index data reveals that the simple existence of a park does not guarantee equal access and suggests a need for New York to re-examine how it is distributing its green spaces.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parkserve.tpl.org/mapping/pdfs/New%20York_NY.pdf" TargetMode="External" /><Relationship Type="http://schemas.openxmlformats.org/officeDocument/2006/relationships/hyperlink" Id="rId22" Target="https://www.brooklynbridgepark.org/places-to-see/how-large-parks-help-everyone/%5D" TargetMode="External" /><Relationship Type="http://schemas.openxmlformats.org/officeDocument/2006/relationships/hyperlink" Id="rId21" Target="https://www.upi.com/Science_News/2022/03/31/park-green-space-health-not-all-the-same/1971648731801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arkserve.tpl.org/mapping/pdfs/New%20York_NY.pdf" TargetMode="External" /><Relationship Type="http://schemas.openxmlformats.org/officeDocument/2006/relationships/hyperlink" Id="rId22" Target="https://www.brooklynbridgepark.org/places-to-see/how-large-parks-help-everyone/%5D" TargetMode="External" /><Relationship Type="http://schemas.openxmlformats.org/officeDocument/2006/relationships/hyperlink" Id="rId21" Target="https://www.upi.com/Science_News/2022/03/31/park-green-space-health-not-all-the-same/1971648731801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Racial Equity in NYC Parks: Neighborhoods of Color have 28% Less Park Space than White Neighborhoods</dc:title>
  <dc:creator>Margot Draillard-Vandenberg</dc:creator>
  <cp:keywords/>
  <dcterms:created xsi:type="dcterms:W3CDTF">2023-05-12T12:23:03Z</dcterms:created>
  <dcterms:modified xsi:type="dcterms:W3CDTF">2023-05-12T12:23:03Z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2023-02-20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